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  <w:rPr>
          <w:rStyle w:val="a4"/>
        </w:rPr>
      </w:pPr>
      <w:r w:rsidRPr="00E34155">
        <w:rPr>
          <w:rStyle w:val="a4"/>
          <w:rFonts w:hint="eastAsia"/>
        </w:rPr>
        <w:t>石河子大学会计硕士专业学位研究生入学考试复试阶段</w:t>
      </w:r>
    </w:p>
    <w:p w:rsidR="00ED1DDF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  <w:rPr>
          <w:rStyle w:val="a4"/>
        </w:rPr>
      </w:pPr>
      <w:r w:rsidRPr="00E34155">
        <w:rPr>
          <w:rStyle w:val="a4"/>
          <w:rFonts w:hint="eastAsia"/>
        </w:rPr>
        <w:t>考试大纲（201</w:t>
      </w:r>
      <w:r w:rsidR="00E34155">
        <w:rPr>
          <w:rStyle w:val="a4"/>
          <w:rFonts w:hint="eastAsia"/>
        </w:rPr>
        <w:t>7版</w:t>
      </w:r>
      <w:r w:rsidRPr="00E34155">
        <w:rPr>
          <w:rStyle w:val="a4"/>
          <w:rFonts w:hint="eastAsia"/>
        </w:rPr>
        <w:t>）</w:t>
      </w:r>
    </w:p>
    <w:p w:rsidR="00C93FC5" w:rsidRPr="00E34155" w:rsidRDefault="00C93FC5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  <w:rPr>
          <w:rFonts w:hint="eastAsia"/>
        </w:rPr>
      </w:pPr>
      <w:bookmarkStart w:id="0" w:name="_GoBack"/>
      <w:bookmarkEnd w:id="0"/>
    </w:p>
    <w:p w:rsidR="00ED1DDF" w:rsidRPr="00C93FC5" w:rsidRDefault="00E34155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rFonts w:hint="eastAsia"/>
        </w:rPr>
      </w:pPr>
      <w:r w:rsidRPr="00C93FC5">
        <w:rPr>
          <w:rFonts w:hint="eastAsia"/>
          <w:color w:val="333333"/>
          <w:shd w:val="clear" w:color="auto" w:fill="FEFEFE"/>
        </w:rPr>
        <w:t>为进一步规范会计硕士专业学位研究生录取工作，保证录取学生具备一定的会计专业素质，全国会计专业学位研究生教育指导委员会制定了《全国会计硕士专业学位研究生入学考试复试阶段专业课指导性大纲（2016）》</w:t>
      </w:r>
      <w:r w:rsidRPr="00C93FC5">
        <w:rPr>
          <w:rFonts w:hint="eastAsia"/>
          <w:color w:val="333333"/>
          <w:shd w:val="clear" w:color="auto" w:fill="FEFEFE"/>
        </w:rPr>
        <w:t>。依据教指委要求，</w:t>
      </w:r>
      <w:r w:rsidRPr="00C93FC5">
        <w:rPr>
          <w:rFonts w:hint="eastAsia"/>
          <w:color w:val="333333"/>
          <w:shd w:val="clear" w:color="auto" w:fill="FEFEFE"/>
        </w:rPr>
        <w:t>我院</w:t>
      </w:r>
      <w:r w:rsidRPr="00C93FC5">
        <w:rPr>
          <w:rFonts w:hint="eastAsia"/>
          <w:color w:val="333333"/>
          <w:shd w:val="clear" w:color="auto" w:fill="FEFEFE"/>
        </w:rPr>
        <w:t>从2017年开始执行，具体大纲如下：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</w:pPr>
      <w:r w:rsidRPr="00E34155">
        <w:rPr>
          <w:rStyle w:val="a4"/>
          <w:rFonts w:hint="eastAsia"/>
        </w:rPr>
        <w:t>第一部分   财务会计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第一章  总论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财务会计报告的目标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会计基本假设与会计基础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会计信息质量要求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会计要素及其确认与计量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财务会计报告的组成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第二章  金融资产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金融资产的分类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以摊余成本计量的金融资产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以公允价值计量且其变动计入其他综合收益的金融资产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以公允价值计量且其变动计入当期损益的金融资产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第三章  存货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存货的确认和初始计量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发出存货成本的计量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期末存货的计量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第四章  长期股权投资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长期股权投资的确认和初始计量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长期股权投资的后续计量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第五章  固定资产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固定资产的确认和初始计量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固定资产的后续计量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固定资产的处置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第六章  无形资产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无形资产的确认和初始计量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lastRenderedPageBreak/>
        <w:t>  第二节  内部研究与开发支出的确认和计量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无形资产的后续计量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无形资产的处置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第七章  负债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流动负债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非流动负债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第八章  所有者权益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实收资本（股本）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资本公积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其他综合收益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留存收益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第九章  收入、费用和利润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收入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费用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直接计入当期利润的利得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直接计入当期利润的损失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利润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第十章  财务报告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财务报告概述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资产负债表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利润表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现金流量表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所有者权益变动表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第六节  附注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第十一章  或有事项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或有事项概述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或有事项的确认和计量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或有事项的列报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第十二章  资产负债表日后事项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资产负债表日后事项概述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调整事项的会计处理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非调整事项的会计处理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第十三章  会计政策、会计估计变更和差错更正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lastRenderedPageBreak/>
        <w:t>  第一节  会计政策及其变更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会计估计及其变更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前期差错及其更正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 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</w:pPr>
      <w:r w:rsidRPr="00E34155">
        <w:rPr>
          <w:rStyle w:val="a4"/>
          <w:rFonts w:hint="eastAsia"/>
        </w:rPr>
        <w:t>第二部分  成本与管理会计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第一章  总论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管理会计与财务会计的区别与联系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成本的概念和分类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第二章  产品成本核算方法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产品成本计算概述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成本的归集与分配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产品成本计算的品种法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产品成本计算的分批法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产品成本计算的分步法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第六节  作业成本法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第三章  成本分析与成本管理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成本性态分析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变动成本法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成本管理方法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第四章  经营决策分析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经营决策分析的基本方法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本量利分析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经营决策中的成本概念运用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经营决策中的生产组织与外包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经营决策中的产能利用与存货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第五章  全面预算管理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全面预算概述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全面预算的类型与编制方法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营业预算的编制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财务预算的编制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预算实施与管理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第六节  预算结果的考评与反馈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lastRenderedPageBreak/>
        <w:t>第六章  责任会计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责任会计概述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责任中心的类型与基本原则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责任会计的职能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责任会计体系与部门绩效考核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 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</w:pPr>
      <w:r w:rsidRPr="00E34155">
        <w:rPr>
          <w:rStyle w:val="a4"/>
          <w:rFonts w:hint="eastAsia"/>
        </w:rPr>
        <w:t>第三部分  财务管理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第一章  总论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财务管理的概念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财务管理的目标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财务管理的环境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第二章  财务估值的基础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货币时间价值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风险和收益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证券估值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第三章  财务分析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偿债能力分析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营运能力分析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获利能力分析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发展能力分析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第五节  综合财务分析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第四章  长期筹资决策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资本成本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资本结构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普通股筹资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第四节  长期负债筹资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第五章  投资决策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投资的概念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投资的现金流量分析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投资决策评价指标及其计算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第六章  营运资金管理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短期资产管理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短期筹资管理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lastRenderedPageBreak/>
        <w:t>第七章  股利分配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第一节  利润分配概述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第二节  股利支付的程序和方式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  <w:ind w:firstLine="480"/>
      </w:pPr>
      <w:r w:rsidRPr="00E34155">
        <w:rPr>
          <w:rFonts w:hint="eastAsia"/>
        </w:rPr>
        <w:t>  第三节  股利理论与股利分配政策</w:t>
      </w:r>
    </w:p>
    <w:p w:rsidR="00ED1DDF" w:rsidRPr="00E34155" w:rsidRDefault="00ED1DDF" w:rsidP="00E34155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</w:pPr>
      <w:r w:rsidRPr="00E34155">
        <w:rPr>
          <w:rStyle w:val="a4"/>
          <w:rFonts w:hint="eastAsia"/>
        </w:rPr>
        <w:t>第四部分  审  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 第一章  总论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第一节  审计的定义和特征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第二节  审计的职能和作用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第三节  审计的分类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第四节  审计准则、职业道德和法律责任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第二章  财务报表审计的核心概念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第一节  审计目标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第二节  重要性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第三节  审计风险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第四节  审计证据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第五节  审计程序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第三章  财务报表审计的思路和步骤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第一节  风险导向审计的基本思路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第二节  风险评估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第三节  控制测试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第四节  实质性程序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第四章  主要业务循环的审计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第一节  销售与收款循环的审计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第二节  采购与付款循环的审计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第三节  生产与职工薪酬循环的审计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第四节  筹资与投资循环的审计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第五节  货币资金与特殊项目的审计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第五章  审计报告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第一节  审计意见的形成和类型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第二节  标准审计报告的结构和内容</w:t>
      </w:r>
    </w:p>
    <w:p w:rsidR="00ED1DDF" w:rsidRPr="00E34155" w:rsidRDefault="00ED1DDF" w:rsidP="00ED1DDF">
      <w:pPr>
        <w:pStyle w:val="a3"/>
        <w:shd w:val="clear" w:color="auto" w:fill="FEFEFE"/>
        <w:spacing w:before="0" w:beforeAutospacing="0" w:after="0" w:afterAutospacing="0" w:line="420" w:lineRule="atLeast"/>
      </w:pPr>
      <w:r w:rsidRPr="00E34155">
        <w:rPr>
          <w:rFonts w:hint="eastAsia"/>
        </w:rPr>
        <w:t>     第三节  非标准审计报告的结构和内容</w:t>
      </w:r>
    </w:p>
    <w:p w:rsidR="00874C75" w:rsidRPr="00E34155" w:rsidRDefault="00874C75">
      <w:pPr>
        <w:rPr>
          <w:sz w:val="24"/>
          <w:szCs w:val="24"/>
        </w:rPr>
      </w:pPr>
    </w:p>
    <w:sectPr w:rsidR="00874C75" w:rsidRPr="00E34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DF"/>
    <w:rsid w:val="0045104F"/>
    <w:rsid w:val="004D1FC9"/>
    <w:rsid w:val="00545909"/>
    <w:rsid w:val="0055452E"/>
    <w:rsid w:val="00561B47"/>
    <w:rsid w:val="005B27BA"/>
    <w:rsid w:val="00874C75"/>
    <w:rsid w:val="009116EE"/>
    <w:rsid w:val="009C21B7"/>
    <w:rsid w:val="00C93FC5"/>
    <w:rsid w:val="00E34155"/>
    <w:rsid w:val="00E74855"/>
    <w:rsid w:val="00E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554C"/>
  <w15:chartTrackingRefBased/>
  <w15:docId w15:val="{84E9484B-C4FB-42A0-A423-7847EB86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1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2016-12-27T04:09:00Z</dcterms:created>
  <dcterms:modified xsi:type="dcterms:W3CDTF">2016-12-28T03:03:00Z</dcterms:modified>
</cp:coreProperties>
</file>